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B6" w:rsidRDefault="007E743C">
      <w:pPr>
        <w:pStyle w:val="3"/>
        <w:tabs>
          <w:tab w:val="left" w:pos="7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B6" w:rsidRDefault="00B76DB6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B76DB6" w:rsidRDefault="00B76DB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ОРЛОВСКАЯ ОБЛАСТЬ</w:t>
      </w:r>
    </w:p>
    <w:p w:rsidR="00B76DB6" w:rsidRDefault="00B76DB6">
      <w:pPr>
        <w:pStyle w:val="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ГОРОДА ЛИВНЫ</w:t>
      </w:r>
    </w:p>
    <w:p w:rsidR="00B76DB6" w:rsidRPr="007E743C" w:rsidRDefault="00B76DB6">
      <w:pPr>
        <w:pStyle w:val="2"/>
        <w:spacing w:line="360" w:lineRule="auto"/>
        <w:rPr>
          <w:rFonts w:ascii="Times New Roman" w:hAnsi="Times New Roman" w:cs="Times New Roman"/>
          <w:color w:val="auto"/>
          <w:spacing w:val="1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B76DB6" w:rsidRDefault="00B76DB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0B3C">
        <w:rPr>
          <w:rFonts w:ascii="Times New Roman" w:hAnsi="Times New Roman"/>
          <w:sz w:val="28"/>
          <w:szCs w:val="28"/>
        </w:rPr>
        <w:t xml:space="preserve">6  декабря 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 w:rsidR="003B0B3C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B0B3C">
        <w:rPr>
          <w:rFonts w:ascii="Times New Roman" w:hAnsi="Times New Roman"/>
          <w:sz w:val="28"/>
          <w:szCs w:val="28"/>
        </w:rPr>
        <w:t>163</w:t>
      </w:r>
    </w:p>
    <w:p w:rsidR="00B76DB6" w:rsidRDefault="00B76D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Ливны</w:t>
      </w:r>
    </w:p>
    <w:p w:rsidR="00B76DB6" w:rsidRDefault="00B76D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B76DB6" w:rsidRDefault="00B76D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Ливны от 1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 xml:space="preserve">. № 3 «О введении </w:t>
      </w:r>
    </w:p>
    <w:p w:rsidR="00B76DB6" w:rsidRDefault="00B76D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новой отраслевой системы оплаты труда работников</w:t>
      </w:r>
    </w:p>
    <w:p w:rsidR="00B76DB6" w:rsidRDefault="00B76D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 образовательных учреждений города</w:t>
      </w:r>
    </w:p>
    <w:p w:rsidR="00B76DB6" w:rsidRDefault="00B76D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Ливны Орловской области»</w:t>
      </w:r>
    </w:p>
    <w:p w:rsidR="00B76DB6" w:rsidRDefault="00B76D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</w:p>
    <w:p w:rsidR="00B76DB6" w:rsidRDefault="00B76DB6">
      <w:pPr>
        <w:tabs>
          <w:tab w:val="left" w:pos="770"/>
        </w:tabs>
        <w:spacing w:after="0" w:line="240" w:lineRule="auto"/>
        <w:jc w:val="both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Законом Орловской области от 6 сентября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 № 1525-ОЗ «Об образовании в Орловской области», Законом Орловской области от 28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8"/>
            <w:szCs w:val="28"/>
          </w:rPr>
          <w:t>2004 г</w:t>
        </w:r>
      </w:smartTag>
      <w:r>
        <w:rPr>
          <w:rFonts w:ascii="Times New Roman" w:hAnsi="Times New Roman"/>
          <w:sz w:val="28"/>
          <w:szCs w:val="28"/>
        </w:rPr>
        <w:t xml:space="preserve">. № 468-ОЗ «Об оплате труда работников государственных учреждений Орловской области», распоряжением Правительства Орловской области от 29 марта 2013г. № 132-р, постановлением Правительства Орловской области от 24 мая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 xml:space="preserve">. №182 «О внесении изменений в постановление Правительства Орловской области от 12 августа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2011 г</w:t>
        </w:r>
      </w:smartTag>
      <w:r>
        <w:rPr>
          <w:rFonts w:ascii="Times New Roman" w:hAnsi="Times New Roman"/>
          <w:sz w:val="28"/>
          <w:szCs w:val="28"/>
        </w:rPr>
        <w:t xml:space="preserve">. № 267 «Об утверждении Примерного положения об оплате труда работников государственных образовательных организаций Орловской области» администрация города  </w:t>
      </w:r>
      <w:r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B76DB6" w:rsidRDefault="00B76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 Внести  в постановление администрации города Ливны от 1 февраля 2012г. №3 «О введении новой отраслевой системы оплаты труда работников муниципальных образовательных учреждений города Ливны Орловской области» следующие изменения:</w:t>
      </w:r>
    </w:p>
    <w:p w:rsidR="00B76DB6" w:rsidRDefault="00B76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  Раздел 3 приложения 7 к  Положению об отраслевой системе оплаты труда работников муниципальных образовательных учреждений города Ливны Орловской области изложить в новой редакции согласно приложению к настоящему постановлению.</w:t>
      </w:r>
    </w:p>
    <w:p w:rsidR="00B76DB6" w:rsidRDefault="00B76D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1.2. Пункт 17 приложения 9 к Положению об отраслевой системе оплаты труда работников муниципальных образовательных учреждений города Ливны Орловской области к  </w:t>
      </w:r>
      <w:r>
        <w:rPr>
          <w:rFonts w:ascii="Times New Roman" w:hAnsi="Times New Roman"/>
          <w:sz w:val="28"/>
          <w:szCs w:val="28"/>
          <w:lang w:eastAsia="ru-RU"/>
        </w:rPr>
        <w:t>дополнить подпунктом 3 следующего содержания:</w:t>
      </w:r>
    </w:p>
    <w:p w:rsidR="00B76DB6" w:rsidRDefault="00B76D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«3) экономное расходование установленных лимитов потребления коммунальных услуг».</w:t>
      </w:r>
    </w:p>
    <w:p w:rsidR="00B76DB6" w:rsidRDefault="00B76DB6">
      <w:pPr>
        <w:spacing w:after="0" w:line="240" w:lineRule="auto"/>
        <w:jc w:val="both"/>
        <w:rPr>
          <w:rFonts w:ascii="Times New Roman" w:hAnsi="Times New Roman"/>
          <w:spacing w:val="-1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>
        <w:rPr>
          <w:rFonts w:ascii="Times New Roman" w:hAnsi="Times New Roman"/>
          <w:spacing w:val="-18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«Ливенский вестник» и разместить на официальном сайте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adminliv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B76DB6" w:rsidRDefault="00B76DB6">
      <w:pPr>
        <w:spacing w:after="0" w:line="240" w:lineRule="auto"/>
        <w:jc w:val="both"/>
        <w:rPr>
          <w:rFonts w:ascii="Times New Roman" w:hAnsi="Times New Roman"/>
          <w:spacing w:val="-1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Настоящее постановление вступает в силу  со дня его официального опубликования.</w:t>
      </w:r>
    </w:p>
    <w:p w:rsidR="00B76DB6" w:rsidRDefault="00B76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</w:t>
      </w:r>
      <w:r>
        <w:rPr>
          <w:rFonts w:ascii="Times New Roman" w:hAnsi="Times New Roman"/>
          <w:b/>
          <w:bCs/>
          <w:sz w:val="28"/>
          <w:szCs w:val="28"/>
        </w:rPr>
        <w:t xml:space="preserve">   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по социальным вопросам  Середу В.Г.</w:t>
      </w:r>
    </w:p>
    <w:p w:rsidR="00B76DB6" w:rsidRDefault="00B76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DB6" w:rsidRDefault="00B76DB6">
      <w:pPr>
        <w:pStyle w:val="9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Н.В.Злобин</w:t>
      </w:r>
    </w:p>
    <w:p w:rsidR="00B76DB6" w:rsidRDefault="00B76D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DB6" w:rsidRDefault="00B76D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DB6" w:rsidRDefault="00B76D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DB6" w:rsidRDefault="00B76DB6">
      <w:pPr>
        <w:autoSpaceDE w:val="0"/>
        <w:autoSpaceDN w:val="0"/>
        <w:adjustRightInd w:val="0"/>
        <w:spacing w:after="0" w:line="240" w:lineRule="auto"/>
        <w:ind w:left="46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B76DB6" w:rsidRDefault="00B76DB6">
      <w:pPr>
        <w:autoSpaceDE w:val="0"/>
        <w:autoSpaceDN w:val="0"/>
        <w:adjustRightInd w:val="0"/>
        <w:spacing w:after="0" w:line="240" w:lineRule="auto"/>
        <w:ind w:left="46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76DB6" w:rsidRDefault="00B76DB6">
      <w:pPr>
        <w:autoSpaceDE w:val="0"/>
        <w:autoSpaceDN w:val="0"/>
        <w:adjustRightInd w:val="0"/>
        <w:spacing w:after="0" w:line="240" w:lineRule="auto"/>
        <w:ind w:left="46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Приложение    к постановлению    </w:t>
      </w:r>
    </w:p>
    <w:p w:rsidR="00B76DB6" w:rsidRDefault="00B76DB6">
      <w:pPr>
        <w:autoSpaceDE w:val="0"/>
        <w:autoSpaceDN w:val="0"/>
        <w:adjustRightInd w:val="0"/>
        <w:spacing w:after="0" w:line="240" w:lineRule="auto"/>
        <w:ind w:left="46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администрации города Ливны</w:t>
      </w:r>
    </w:p>
    <w:p w:rsidR="00B76DB6" w:rsidRDefault="00B76DB6">
      <w:pPr>
        <w:autoSpaceDE w:val="0"/>
        <w:autoSpaceDN w:val="0"/>
        <w:adjustRightInd w:val="0"/>
        <w:spacing w:after="0" w:line="240" w:lineRule="auto"/>
        <w:ind w:left="46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от</w:t>
      </w:r>
      <w:r w:rsidR="003B0B3C">
        <w:rPr>
          <w:rFonts w:ascii="Times New Roman" w:hAnsi="Times New Roman"/>
          <w:sz w:val="28"/>
          <w:szCs w:val="28"/>
        </w:rPr>
        <w:t xml:space="preserve"> 6 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 xml:space="preserve">. № </w:t>
      </w:r>
      <w:r w:rsidR="003B0B3C">
        <w:rPr>
          <w:rFonts w:ascii="Times New Roman" w:hAnsi="Times New Roman"/>
          <w:sz w:val="28"/>
          <w:szCs w:val="28"/>
        </w:rPr>
        <w:t>163</w:t>
      </w:r>
    </w:p>
    <w:p w:rsidR="00B76DB6" w:rsidRDefault="00B76DB6">
      <w:pPr>
        <w:pStyle w:val="ConsPlusNormal"/>
        <w:ind w:left="4620"/>
        <w:jc w:val="center"/>
      </w:pPr>
    </w:p>
    <w:p w:rsidR="00B76DB6" w:rsidRDefault="00B76D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Выплаты стимулирующего характера</w:t>
      </w:r>
    </w:p>
    <w:p w:rsidR="00B76DB6" w:rsidRDefault="00B76DB6">
      <w:pPr>
        <w:pStyle w:val="ConsPlusNormal"/>
        <w:ind w:firstLine="540"/>
        <w:jc w:val="both"/>
        <w:rPr>
          <w:rFonts w:ascii="Times New Roman" w:hAnsi="Times New Roman"/>
        </w:rPr>
      </w:pPr>
    </w:p>
    <w:p w:rsidR="00B76DB6" w:rsidRDefault="00B76D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>3.1. К выплатам стимулирующего характера для работников муниципальных образовательных учреждений дополнительного образования детей и прочих образовательных учреждений города Ливны, (далее также - образовательных организаций) относятся ежемесячные стимулирующие надбавки, доплаты, разовые поощрительные выплаты (премии)  и иные выплаты стимулирующего характера, выплачиваемые в соответствии с условиями заключенного с ними трудового договора.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Размер выплат стимулирующего характера работникам образовательных организаций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может устанавливаться как в абсолютном значении, так и в процентном отношении к должностному окладу (тарифной ставке).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Выплаты стимулирующего характера работникам образовательных организаций устанавливаются в целях повышения социального статуса </w:t>
      </w:r>
      <w:r>
        <w:rPr>
          <w:rFonts w:ascii="Times New Roman" w:hAnsi="Times New Roman"/>
        </w:rPr>
        <w:br/>
        <w:t xml:space="preserve">и профессионального престижа по результатам инновационной деятельности за превышение объемных показателей, сложность, напряженность, высокие достижения в труде, особые условия труда, осуществление методических </w:t>
      </w:r>
      <w:r>
        <w:rPr>
          <w:rFonts w:ascii="Times New Roman" w:hAnsi="Times New Roman"/>
        </w:rPr>
        <w:br/>
        <w:t>и координационных функций, личный творческий вклад в организацию деятельности образовательной организации, создание условий для сохранения и укрепления здоровья обучающихся и воспитанников.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Конкретные виды, размеры и периодичность выплат стимулирующего характера работникам образовательных организаций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утверждаются Положением о стимулировании, утвержденным коллективными договорами организаций или локальными нормативными актами работодателя с учетом мнения выборного профсоюзного или иного представительного органа работников организации.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 Критериями эффективности деятельности для установления ежемесячных стимулирующих надбавок работникам образовательных организаций являются следующие качественные показатели: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достижение обучающимися стабильно высоких показателей внеурочной творческой деятельности;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высокая результативность участия организации в конкурсах </w:t>
      </w:r>
      <w:r>
        <w:rPr>
          <w:rFonts w:ascii="Times New Roman" w:hAnsi="Times New Roman"/>
        </w:rPr>
        <w:br/>
        <w:t>и смотрах муниципального, регионального и федерального уровней;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высокая эффективность коррекционно-развивающей и реабилита-ционной работы с обучающимися, требующими усиленного педагогического внимания;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высокая эффективность организации работ по реализации программы развития организации;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высокая эффективность разработанных программ, положений, экономических расчетов и других документов, способствующих институциализации новой практики работы организации по достижению современных результатов образования;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  <w:sectPr w:rsidR="00B76DB6">
          <w:pgSz w:w="11906" w:h="16838"/>
          <w:pgMar w:top="284" w:right="680" w:bottom="170" w:left="1418" w:header="709" w:footer="709" w:gutter="0"/>
          <w:cols w:space="708"/>
          <w:titlePg/>
          <w:docGrid w:linePitch="360"/>
        </w:sectPr>
      </w:pP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6) стабильно качественное содержание помещений и территории организации в соответствии с требованиями СанПиН, обеспечение безопасности образовательного процесса;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качественное ведение документации;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 качественная организация работы общественных органов, участвующих в управлении организацией;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 высокая эффективность применения работником здоровьесберегающих или восстанавливающих здоровье технологий;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высокая эффективность работы по расширению общественного участия в управлении и организации образовательного процесса </w:t>
      </w:r>
      <w:r>
        <w:rPr>
          <w:rFonts w:ascii="Times New Roman" w:hAnsi="Times New Roman"/>
        </w:rPr>
        <w:br/>
        <w:t>в организации.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 В случае применения ежемесячных стимулирующих надбавок </w:t>
      </w:r>
      <w:r>
        <w:rPr>
          <w:rFonts w:ascii="Times New Roman" w:hAnsi="Times New Roman"/>
        </w:rPr>
        <w:br/>
        <w:t xml:space="preserve">по двум и более основаниям используется сумма значений, установленных Положением о стимулировании по критериям эффективности деятельности, указанных в </w:t>
      </w:r>
      <w:hyperlink w:anchor="P2111" w:history="1">
        <w:r>
          <w:rPr>
            <w:rFonts w:ascii="Times New Roman" w:hAnsi="Times New Roman"/>
          </w:rPr>
          <w:t>пункте</w:t>
        </w:r>
      </w:hyperlink>
      <w:r>
        <w:rPr>
          <w:rFonts w:ascii="Times New Roman" w:hAnsi="Times New Roman"/>
        </w:rPr>
        <w:t xml:space="preserve"> 3.5 настоящего Порядка.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3.7. Отдельным категориям работников устанавливаются доплаты: </w:t>
      </w:r>
    </w:p>
    <w:p w:rsidR="00B76DB6" w:rsidRDefault="00B76DB6">
      <w:pPr>
        <w:pStyle w:val="ConsPlusNormal"/>
        <w:ind w:firstLine="709"/>
        <w:jc w:val="both"/>
      </w:pPr>
      <w:r>
        <w:rPr>
          <w:rFonts w:ascii="Times New Roman" w:hAnsi="Times New Roman"/>
        </w:rPr>
        <w:t>а) работникам образовательных организаций, имеющим государственные награды Российской Федерации, награжденным нагрудным знаком «Почетный работник общего образования Российской Федерации», значком «Отличник народного просвещения»;</w:t>
      </w:r>
      <w:r>
        <w:t xml:space="preserve"> 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работникам организаций спортивной направленности, награжденным отраслевым знаком «Отличник физической культуры </w:t>
      </w:r>
      <w:r>
        <w:rPr>
          <w:rFonts w:ascii="Times New Roman" w:hAnsi="Times New Roman"/>
        </w:rPr>
        <w:br/>
        <w:t xml:space="preserve">и спорта», почетным знаком «За заслуги в развитии физической культуры </w:t>
      </w:r>
      <w:r>
        <w:rPr>
          <w:rFonts w:ascii="Times New Roman" w:hAnsi="Times New Roman"/>
        </w:rPr>
        <w:br/>
        <w:t>и спорта», почетным знаком «За заслуги в развитии Олимпийского движения в России», имеющим звание «Мастер спорта»;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наставникам молодых специалистов.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3.8. Премирование работников образовательных организаций производится в целях повышения материальной заинтересованности </w:t>
      </w:r>
      <w:r>
        <w:rPr>
          <w:rFonts w:ascii="Times New Roman" w:hAnsi="Times New Roman"/>
        </w:rPr>
        <w:br/>
        <w:t>в достижении высоких результатов в работе и высокого качества труда.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3.9. Критериями  для установления разовых поощрительных выплат (премий) работникам организации являются следующие качественные показатели: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обеспечение современного качества дополнительного образования: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стабильность и рост качества образовательных результатов </w:t>
      </w:r>
      <w:r>
        <w:rPr>
          <w:rFonts w:ascii="Times New Roman" w:hAnsi="Times New Roman"/>
        </w:rPr>
        <w:br/>
        <w:t>и их соответствие  интеллектуальным и личностным способностям обучающихся в сравнении с предыдущим периодом;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достижение обучающимися высоких показателей успеваемости</w:t>
      </w:r>
      <w:r>
        <w:rPr>
          <w:rFonts w:ascii="Times New Roman" w:hAnsi="Times New Roman"/>
          <w:color w:val="FF00FF"/>
        </w:rPr>
        <w:t>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наличие призеров смотров, конференций и других видов конкурсных соревнований различных уровней;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наличие сертифицированных достижений коллективов обучающихся по результатам творческих конкурсов, фестивалей разных уровней, кроме уровня организации;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сохранение и укрепление здоровья обучающихся: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сохранение уровня или положительная динамика состояния здоровья обучающихся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по результатам мониторингов;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высокая эффективность применения работником здоровье-сберегающих технологий;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в) высокая эффективность организации мероприятий, способствующих восстановлению здоровья учащихся;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высокая эффективность работы по профилактике вредных привычек;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обеспечение результативности и эффективности воспитательной работы: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повышение уровня сформированности ученического и родительского сообщества  группы или творческого объединения учащихся </w:t>
      </w:r>
      <w:r>
        <w:rPr>
          <w:rFonts w:ascii="Times New Roman" w:hAnsi="Times New Roman"/>
        </w:rPr>
        <w:br/>
        <w:t>по сравнению с предыдущим периодом;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снижение пропусков  обучающимися</w:t>
      </w:r>
      <w:r>
        <w:rPr>
          <w:rFonts w:ascii="Times New Roman" w:hAnsi="Times New Roman"/>
          <w:color w:val="FF00FF"/>
        </w:rPr>
        <w:t xml:space="preserve"> </w:t>
      </w:r>
      <w:r>
        <w:rPr>
          <w:rFonts w:ascii="Times New Roman" w:hAnsi="Times New Roman"/>
        </w:rPr>
        <w:t>занятий без уважительной причины;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обеспечение современного качества организационного, информационно-методического, психолого-педагогического и материально-технического сопровождения образовательного процесса педагогическими </w:t>
      </w:r>
      <w:r>
        <w:rPr>
          <w:rFonts w:ascii="Times New Roman" w:hAnsi="Times New Roman"/>
        </w:rPr>
        <w:br/>
        <w:t>и другими работниками организации: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высокая эффективность проводимых педагогом занятий, мероприятий с применением современных, </w:t>
      </w:r>
      <w:r>
        <w:rPr>
          <w:rFonts w:ascii="Times New Roman" w:hAnsi="Times New Roman"/>
        </w:rPr>
        <w:br/>
        <w:t>в том числе информационных образовательных технологий;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высокая эффективность педагогического сопровождения творческой, проектной, спортивной деятельности обучающихся;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качественная разработка и своевременное внедрение программ сопровождения, рабочих программ, высокая эффективность выполнения образовательной программы организации;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высокая эффективность инновационной, опытно-экспериментальной </w:t>
      </w:r>
      <w:r>
        <w:rPr>
          <w:rFonts w:ascii="Times New Roman" w:hAnsi="Times New Roman"/>
        </w:rPr>
        <w:br/>
        <w:t>и методической работы организации;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качественная разработка и своевременное внедрение программ оценки качества образовательного процесса в организации;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 высокая эффективность содержательной деятельности информационного предметного центра, образцовое содержание кабинета, аудитории;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ж) результативность коррекционно-развивающей и реабилитационной работы с обучающимися, требующими усиленного педагогического внимания;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з) снижение частоты обоснованных обращений обучающихся</w:t>
      </w:r>
      <w:r>
        <w:rPr>
          <w:rFonts w:ascii="Times New Roman" w:hAnsi="Times New Roman"/>
          <w:color w:val="FF0000"/>
        </w:rPr>
        <w:t>,</w:t>
      </w:r>
      <w:r>
        <w:rPr>
          <w:rFonts w:ascii="Times New Roman" w:hAnsi="Times New Roman"/>
        </w:rPr>
        <w:t xml:space="preserve"> родителей, педагогов по поводу конфликтных ситуаций и высокий уровень решения конфликтных ситуаций;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и) высокий уровень исполнительской дисциплины: подготовки отчетов, заполнения журналов, ведения личных дел, посещения организационно-методических мероприятий; 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руководителям методических объединений, заместителям руководителя организации: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высокий уровень организации мониторинга учебно-воспитательного процесса;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качественное выполнение плана воспитательной работы;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качественная организация систематического контроля </w:t>
      </w:r>
      <w:r>
        <w:rPr>
          <w:rFonts w:ascii="Times New Roman" w:hAnsi="Times New Roman"/>
        </w:rPr>
        <w:br/>
        <w:t>за информационно-методическим обеспечением образовательного процесса, ведением учебной документации и другими направлениями внутреннего контроля;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г) качественная организация работы общественных органов, участвующих в управлении организацией;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сохранение контингента обучающихся;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 высокий уровень организации аттестации педагогических работников организации;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ж) поддержание благоприятного психологического климата </w:t>
      </w:r>
      <w:r>
        <w:rPr>
          <w:rFonts w:ascii="Times New Roman" w:hAnsi="Times New Roman"/>
        </w:rPr>
        <w:br/>
        <w:t>в коллективе;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заместителю директора по административно-хозяйственной работе </w:t>
      </w:r>
      <w:r>
        <w:rPr>
          <w:rFonts w:ascii="Times New Roman" w:hAnsi="Times New Roman"/>
        </w:rPr>
        <w:br/>
        <w:t>и другим представителям учебно-вспомогательного персонала: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оперативное материально-техническое, ресурсное обеспечение образовательного процесса;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качественное обеспечение санитарно-гигиенических условий </w:t>
      </w:r>
      <w:r>
        <w:rPr>
          <w:rFonts w:ascii="Times New Roman" w:hAnsi="Times New Roman"/>
        </w:rPr>
        <w:br/>
        <w:t>в образовательной организации (температурный, световой режим, режим подачи питьевой воды);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качественное обеспечение выполнения требований пожарной </w:t>
      </w:r>
      <w:r>
        <w:rPr>
          <w:rFonts w:ascii="Times New Roman" w:hAnsi="Times New Roman"/>
        </w:rPr>
        <w:br/>
        <w:t>и электробезопасности, охраны труда;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высокое качество подготовки и организации ремонтных работ;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своевременное и качественное сопровождение новой системы оплаты труда, разработка новых положений, подготовка экономических расчетов;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 своевременное и качественное представление отчетности;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ж) качественное ведение документации;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младшему обслуживающему персоналу: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участка в соответствии с требованиями СанПиН, качественная уборка помещений;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оперативность выполнения заявок по устранению технических неполадок.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3.10. В случае применения разовых поощрительных выплат (премий) </w:t>
      </w:r>
      <w:r>
        <w:rPr>
          <w:rFonts w:ascii="Times New Roman" w:hAnsi="Times New Roman"/>
        </w:rPr>
        <w:br/>
        <w:t xml:space="preserve">по двум и более основаниям используется сумма значений, установленных Положением о стимулировании по критериям, указанным в </w:t>
      </w:r>
      <w:hyperlink w:anchor="P2111" w:history="1">
        <w:r>
          <w:rPr>
            <w:rFonts w:ascii="Times New Roman" w:hAnsi="Times New Roman"/>
          </w:rPr>
          <w:t>пункте</w:t>
        </w:r>
      </w:hyperlink>
      <w:r>
        <w:rPr>
          <w:rFonts w:ascii="Times New Roman" w:hAnsi="Times New Roman"/>
        </w:rPr>
        <w:t xml:space="preserve"> 3.9 настоящего Порядка.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3.11. К иным выплатам стимулирующего характера относятся: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выплаты в связи с праздничными датами;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другие выплаты, предусмотренные коллективным договором. </w:t>
      </w:r>
      <w:r>
        <w:rPr>
          <w:rFonts w:ascii="Times New Roman" w:hAnsi="Times New Roman"/>
        </w:rPr>
        <w:br/>
        <w:t xml:space="preserve">          3.12. Конкретные размеры премий и поощрительных выплат определяются: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работникам образовательных организаций, включая заместителей руководителя и главных бухгалтеров, – в соответствии с коллективным договором или локальными нормативными актами работодателя, принятыми с учетом мнения выборного профсоюзного или иного представительного органа работников организации в пределах бюджетных ассигнований </w:t>
      </w:r>
      <w:r>
        <w:rPr>
          <w:rFonts w:ascii="Times New Roman" w:hAnsi="Times New Roman"/>
        </w:rPr>
        <w:br/>
        <w:t xml:space="preserve">на оплату труда работников образовательной организации, а также средств </w:t>
      </w:r>
      <w:r>
        <w:rPr>
          <w:rFonts w:ascii="Times New Roman" w:hAnsi="Times New Roman"/>
        </w:rPr>
        <w:br/>
        <w:t>от предпринимательской и иной приносящей доход деятельности, направленных образовательной организацией на оплату труда;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руководителям образовательных организаций – в соответствии </w:t>
      </w:r>
      <w:r>
        <w:rPr>
          <w:rFonts w:ascii="Times New Roman" w:hAnsi="Times New Roman"/>
        </w:rPr>
        <w:br/>
        <w:t>с приказом отраслевого (функционального) органа,   в ведении которого находится образовательная организация.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3.13. Премирование работника не производится при наличии у него дисциплинарного взыскания.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3.14. Из фонда оплаты труда образовательной организации работникам может быть оказана материальная помощь согласно положению </w:t>
      </w:r>
      <w:r>
        <w:rPr>
          <w:rFonts w:ascii="Times New Roman" w:hAnsi="Times New Roman"/>
        </w:rPr>
        <w:br/>
        <w:t>о предоставлении материальной помощи работникам и ее размеров, согласованных с выборным профсоюзным или иным представительным органом работников образовательной организации в следующих случаях: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в связи с юбилейными датами (50, 55, 60, 65, 70 лет);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при увольнении в связи с выходом на пенсию по старости или инвалидности, связанной с профессиональной деятельностью;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в связи со смертью работника, членов его семьи (супруги, дети, родители) и в связи с необходимостью лечения работника;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при уходе в очередной отпуск не более 1 раза в год.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3.15. Материальная помощь выделяется на основании приказа образовательной организации с обязательным учетом мнения выборного профсоюзного или иного представительного органа работников образовательной организации.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3.16. На основании  решения общего собрания образовательной организации создается комиссия по принятию решений о размере стимулирования работников образовательной организации.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3.17. Выплаты стимулирующего характера работникам в соответствии </w:t>
      </w:r>
      <w:r>
        <w:rPr>
          <w:rFonts w:ascii="Times New Roman" w:hAnsi="Times New Roman"/>
        </w:rPr>
        <w:br/>
        <w:t xml:space="preserve">с утвержденным Положением о стимулировании осуществляются </w:t>
      </w:r>
      <w:r>
        <w:rPr>
          <w:rFonts w:ascii="Times New Roman" w:hAnsi="Times New Roman"/>
        </w:rPr>
        <w:br/>
        <w:t>на основании приказа образовательной организации с учетом мнения выборного профсоюзного или иного представительного органа работников организации в пределах бюджетных ассигнований на оплату труда работников организаций, а также средств от предпринимательской и иной приносящей доход деятельности, направленных организацией на оплату труда.</w:t>
      </w:r>
    </w:p>
    <w:p w:rsidR="00B76DB6" w:rsidRDefault="00B76DB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3.18. Выплаты стимулирующего характера руководителям, заместителям руководителей, главным бухгалтерам образовательных организаций осуществляются в размере и порядке, установленном </w:t>
      </w:r>
      <w:hyperlink w:anchor="P2027" w:history="1">
        <w:r>
          <w:rPr>
            <w:rFonts w:ascii="Times New Roman" w:hAnsi="Times New Roman"/>
          </w:rPr>
          <w:t>приложением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>9</w:t>
        </w:r>
      </w:hyperlink>
      <w:r>
        <w:rPr>
          <w:rFonts w:ascii="Times New Roman" w:hAnsi="Times New Roman"/>
        </w:rPr>
        <w:t xml:space="preserve"> к настоящему Положению, в пределах фонда оплаты труда образовательной организации.</w:t>
      </w:r>
    </w:p>
    <w:p w:rsidR="00B76DB6" w:rsidRDefault="00B76D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B76DB6" w:rsidRDefault="00B76D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6DB6" w:rsidRDefault="00B76D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sectPr w:rsidR="00B76DB6"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014" w:rsidRDefault="00244014">
      <w:pPr>
        <w:spacing w:after="0" w:line="240" w:lineRule="auto"/>
      </w:pPr>
      <w:r>
        <w:separator/>
      </w:r>
    </w:p>
  </w:endnote>
  <w:endnote w:type="continuationSeparator" w:id="0">
    <w:p w:rsidR="00244014" w:rsidRDefault="0024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014" w:rsidRDefault="00244014">
      <w:pPr>
        <w:spacing w:after="0" w:line="240" w:lineRule="auto"/>
      </w:pPr>
      <w:r>
        <w:separator/>
      </w:r>
    </w:p>
  </w:footnote>
  <w:footnote w:type="continuationSeparator" w:id="0">
    <w:p w:rsidR="00244014" w:rsidRDefault="0024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46822742"/>
    <w:multiLevelType w:val="multilevel"/>
    <w:tmpl w:val="7BFC161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 w15:restartNumberingAfterBreak="0">
    <w:nsid w:val="671F5089"/>
    <w:multiLevelType w:val="hybridMultilevel"/>
    <w:tmpl w:val="F4644422"/>
    <w:lvl w:ilvl="0" w:tplc="43021834">
      <w:start w:val="30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3C"/>
    <w:rsid w:val="00244014"/>
    <w:rsid w:val="003B0B3C"/>
    <w:rsid w:val="007E743C"/>
    <w:rsid w:val="00B7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1C9683-21B2-4127-B171-F8A386C9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color w:val="0000FF"/>
      <w:sz w:val="44"/>
      <w:szCs w:val="44"/>
      <w:lang w:eastAsia="ru-RU"/>
    </w:rPr>
  </w:style>
  <w:style w:type="paragraph" w:styleId="2">
    <w:name w:val="heading 2"/>
    <w:basedOn w:val="a"/>
    <w:next w:val="a"/>
    <w:qFormat/>
    <w:pPr>
      <w:keepNext/>
      <w:spacing w:after="0" w:line="240" w:lineRule="auto"/>
      <w:jc w:val="center"/>
      <w:outlineLvl w:val="1"/>
    </w:pPr>
    <w:rPr>
      <w:rFonts w:ascii="Tahoma" w:hAnsi="Tahoma" w:cs="Tahoma"/>
      <w:b/>
      <w:bCs/>
      <w:color w:val="0000FF"/>
      <w:sz w:val="40"/>
      <w:szCs w:val="40"/>
      <w:lang w:eastAsia="ru-RU"/>
    </w:rPr>
  </w:style>
  <w:style w:type="paragraph" w:styleId="3">
    <w:name w:val="heading 3"/>
    <w:basedOn w:val="a"/>
    <w:next w:val="a"/>
    <w:qFormat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qFormat/>
    <w:pPr>
      <w:keepNext/>
      <w:tabs>
        <w:tab w:val="left" w:pos="1080"/>
      </w:tabs>
      <w:spacing w:after="0" w:line="240" w:lineRule="auto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spacing w:line="240" w:lineRule="auto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pPr>
      <w:keepNext/>
      <w:autoSpaceDE w:val="0"/>
      <w:autoSpaceDN w:val="0"/>
      <w:adjustRightInd w:val="0"/>
      <w:ind w:firstLine="709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qFormat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Calibri" w:hAnsi="Calibri"/>
      <w:b/>
      <w:bCs/>
      <w:sz w:val="24"/>
      <w:szCs w:val="24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Знак Знак2"/>
    <w:basedOn w:val="a0"/>
    <w:rPr>
      <w:rFonts w:ascii="Calibri" w:eastAsia="Times New Roman" w:hAnsi="Calibri"/>
    </w:rPr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нак Знак1"/>
    <w:basedOn w:val="a0"/>
    <w:rPr>
      <w:rFonts w:ascii="Calibri" w:eastAsia="Times New Roman" w:hAnsi="Calibri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Знак Знак"/>
    <w:basedOn w:val="a0"/>
    <w:rPr>
      <w:rFonts w:ascii="Tahoma" w:eastAsia="Times New Roman" w:hAnsi="Tahoma"/>
      <w:sz w:val="16"/>
      <w:szCs w:val="16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Body Text"/>
    <w:basedOn w:val="a"/>
    <w:pPr>
      <w:shd w:val="clear" w:color="auto" w:fill="FFFFFF"/>
      <w:spacing w:before="120" w:after="120" w:line="240" w:lineRule="atLeast"/>
      <w:jc w:val="center"/>
    </w:pPr>
    <w:rPr>
      <w:rFonts w:ascii="Times New Roman" w:eastAsia="Arial Unicode MS" w:hAnsi="Times New Roman"/>
      <w:sz w:val="26"/>
      <w:szCs w:val="26"/>
      <w:lang w:eastAsia="ru-RU"/>
    </w:rPr>
  </w:style>
  <w:style w:type="paragraph" w:styleId="a9">
    <w:name w:val="Body Text Indent"/>
    <w:basedOn w:val="a"/>
    <w:pPr>
      <w:jc w:val="both"/>
    </w:pPr>
    <w:rPr>
      <w:sz w:val="28"/>
      <w:szCs w:val="28"/>
    </w:rPr>
  </w:style>
  <w:style w:type="paragraph" w:styleId="21">
    <w:name w:val="Body Text Indent 2"/>
    <w:basedOn w:val="a"/>
    <w:pPr>
      <w:autoSpaceDE w:val="0"/>
      <w:autoSpaceDN w:val="0"/>
      <w:adjustRightInd w:val="0"/>
      <w:spacing w:after="0" w:line="240" w:lineRule="auto"/>
      <w:ind w:firstLine="539"/>
      <w:jc w:val="both"/>
      <w:outlineLvl w:val="0"/>
    </w:pPr>
    <w:rPr>
      <w:sz w:val="28"/>
      <w:szCs w:val="28"/>
    </w:rPr>
  </w:style>
  <w:style w:type="paragraph" w:styleId="30">
    <w:name w:val="Body Text Indent 3"/>
    <w:basedOn w:val="a"/>
    <w:pPr>
      <w:autoSpaceDE w:val="0"/>
      <w:autoSpaceDN w:val="0"/>
      <w:adjustRightInd w:val="0"/>
      <w:ind w:firstLine="709"/>
      <w:jc w:val="both"/>
      <w:outlineLvl w:val="1"/>
    </w:pPr>
    <w:rPr>
      <w:sz w:val="28"/>
      <w:szCs w:val="28"/>
    </w:rPr>
  </w:style>
  <w:style w:type="paragraph" w:styleId="aa">
    <w:name w:val="Plain Text"/>
    <w:basedOn w:val="a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31">
    <w:name w:val="Body Text 3"/>
    <w:basedOn w:val="a"/>
    <w:pPr>
      <w:jc w:val="center"/>
    </w:pPr>
    <w:rPr>
      <w:sz w:val="28"/>
      <w:szCs w:val="28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styleId="ac">
    <w:name w:val="page number"/>
    <w:basedOn w:val="a0"/>
  </w:style>
  <w:style w:type="paragraph" w:customStyle="1" w:styleId="11">
    <w:name w:val="Основной текст1"/>
    <w:basedOn w:val="a"/>
    <w:pPr>
      <w:shd w:val="clear" w:color="auto" w:fill="FFFFFF"/>
      <w:spacing w:after="300" w:line="319" w:lineRule="exact"/>
      <w:jc w:val="center"/>
    </w:pPr>
    <w:rPr>
      <w:sz w:val="28"/>
      <w:szCs w:val="28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ОРЛОВСКОЙ ОБЛАСТИ</vt:lpstr>
    </vt:vector>
  </TitlesOfParts>
  <Company>краеведческий музей</Company>
  <LinksUpToDate>false</LinksUpToDate>
  <CharactersWithSpaces>14191</CharactersWithSpaces>
  <SharedDoc>false</SharedDoc>
  <HLinks>
    <vt:vector size="18" baseType="variant">
      <vt:variant>
        <vt:i4>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P2027</vt:lpwstr>
      </vt:variant>
      <vt:variant>
        <vt:i4>196673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P2111</vt:lpwstr>
      </vt:variant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ОРЛОВСКОЙ ОБЛАСТИ</dc:title>
  <dc:subject/>
  <dc:creator>sai</dc:creator>
  <cp:keywords/>
  <dc:description/>
  <cp:lastModifiedBy>Microsoft</cp:lastModifiedBy>
  <cp:revision>2</cp:revision>
  <cp:lastPrinted>2014-01-31T11:33:00Z</cp:lastPrinted>
  <dcterms:created xsi:type="dcterms:W3CDTF">2016-12-08T05:17:00Z</dcterms:created>
  <dcterms:modified xsi:type="dcterms:W3CDTF">2016-12-08T05:17:00Z</dcterms:modified>
</cp:coreProperties>
</file>